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0" w:line="276" w:lineRule="auto"/>
        <w:jc w:val="right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  <w:u w:val="single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8"/>
          <w:szCs w:val="28"/>
          <w:u w:val="single"/>
          <w:rtl w:val="0"/>
          <w:lang w:val="ru-RU"/>
        </w:rPr>
        <w:t>Проект</w:t>
      </w:r>
    </w:p>
    <w:p>
      <w:pPr>
        <w:pStyle w:val="Normal.0"/>
        <w:spacing w:after="0" w:line="276" w:lineRule="auto"/>
        <w:jc w:val="right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</w:p>
    <w:p>
      <w:pPr>
        <w:pStyle w:val="Normal.0"/>
        <w:spacing w:after="0" w:line="276" w:lineRule="auto"/>
        <w:jc w:val="right"/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</w:pP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 xml:space="preserve">Утверждены решением фракции Политической партии </w:t>
      </w:r>
      <w:r>
        <w:rPr>
          <w:rFonts w:ascii="Times New Roman" w:hAnsi="Times New Roman" w:hint="default"/>
          <w:b w:val="1"/>
          <w:bCs w:val="1"/>
          <w:i w:val="1"/>
          <w:iCs w:val="1"/>
          <w:sz w:val="28"/>
          <w:szCs w:val="28"/>
          <w:rtl w:val="0"/>
          <w:lang w:val="ru-RU"/>
        </w:rPr>
        <w:t>ЛДПР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 xml:space="preserve"> – </w:t>
      </w:r>
      <w:r>
        <w:rPr>
          <w:rFonts w:ascii="Times New Roman" w:cs="Times New Roman" w:hAnsi="Times New Roman" w:eastAsia="Times New Roman"/>
          <w:i w:val="1"/>
          <w:iCs w:val="1"/>
          <w:sz w:val="28"/>
          <w:szCs w:val="28"/>
        </w:rPr>
        <w:br w:type="textWrapping"/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>Либерально</w:t>
      </w:r>
      <w:r>
        <w:rPr>
          <w:rFonts w:ascii="Times New Roman" w:hAnsi="Times New Roman"/>
          <w:i w:val="1"/>
          <w:iCs w:val="1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i w:val="1"/>
          <w:iCs w:val="1"/>
          <w:sz w:val="28"/>
          <w:szCs w:val="28"/>
          <w:rtl w:val="0"/>
          <w:lang w:val="ru-RU"/>
        </w:rPr>
        <w:t xml:space="preserve">демократической партии России в Государственной Думе </w:t>
      </w:r>
    </w:p>
    <w:p>
      <w:pPr>
        <w:pStyle w:val="Normal.0"/>
        <w:spacing w:after="0" w:line="276" w:lineRule="auto"/>
        <w:jc w:val="right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30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июня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2025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года</w:t>
      </w:r>
    </w:p>
    <w:p>
      <w:pPr>
        <w:pStyle w:val="Normal.0"/>
        <w:spacing w:after="0" w:line="276" w:lineRule="auto"/>
        <w:jc w:val="center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after="0" w:line="276" w:lineRule="auto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after="0" w:line="276" w:lineRule="auto"/>
        <w:jc w:val="center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after="0" w:line="276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РЕКОМЕНДАЦИИ</w:t>
      </w:r>
    </w:p>
    <w:p>
      <w:pPr>
        <w:pStyle w:val="Normal.0"/>
        <w:spacing w:after="0" w:line="276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Normal.0"/>
        <w:spacing w:after="0" w:line="276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по итогам расширенного выездного заседания фракции ЛДПР </w:t>
      </w:r>
    </w:p>
    <w:p>
      <w:pPr>
        <w:pStyle w:val="Normal.0"/>
        <w:spacing w:after="0" w:line="276" w:lineRule="auto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в Государственной Думе с участием руководителей фракций ЛДПР </w:t>
        <w:br w:type="textWrapping"/>
        <w:t>в законодательных органах субъектов Российской Федерации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состоявшегося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30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июня 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2025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года</w:t>
      </w:r>
    </w:p>
    <w:p>
      <w:pPr>
        <w:pStyle w:val="Normal.0"/>
        <w:spacing w:after="0" w:line="360" w:lineRule="auto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</w:p>
    <w:p>
      <w:pPr>
        <w:pStyle w:val="Normal.0"/>
        <w:spacing w:after="0" w:line="360" w:lineRule="auto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Настоящие Рекомендации подготовлены по результатам расширенного выездного заседания фракции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ЛДПР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в Государственной Думе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посвященного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дефициту медицинских кадров в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субъектах Российской Федерации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 котором приняли участие депутаты фракции </w:t>
      </w:r>
      <w:bookmarkStart w:name="_Hlk201836253" w:id="0"/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ЛДПР</w:t>
      </w:r>
      <w:bookmarkEnd w:id="0"/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в Государственной Думе и сенаторы Российской Федерации от ЛДПР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Заместитель Председателя Правительства Российской Федерации Т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Голикова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губернатор Рязанской области П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Малков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первый заместитель Министра здравоохранения Российской Федерации В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Фисенко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руководители фракций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ЛДПР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в законодательных органах субъектов Российской Федерации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также представители органов исполнительной власти субъектов Российской Федерации в сфере охраны здоровья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представители медицинских организаций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профессионального и экспертного сообщества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Позиции и предложения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высказанные на расширенном выездном заседании фракции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ЛДПР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позволяют констатировать необходимость своевременного принятия регионами мер реагирования на актуальную проблему кадрового дефицита в региональных медицинских организациях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 учетом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необходимости решения демографической проблемы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также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стратегического развития территорий и во взаимосвязи с запросами общества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Заслушав и обсудив доклады и выступления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участники расширенного выездного заседания фракции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ЛДПР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отмечают следующее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Важнейшей задачей социально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экономического развития страны является обеспечение всех субъектов Российской Федерации квалифицированными кадрами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особенно в такой ведущей сфере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как здравоохранение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2024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году в медицинских организациях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подведомственных Минздраву России и органам исполнительной власти субъектов Российской Федерации в сфере охраны здоровья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работало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557,9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тыс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врачей и </w:t>
      </w:r>
      <w:r>
        <w:rPr>
          <w:rFonts w:ascii="Times New Roman" w:hAnsi="Times New Roman"/>
          <w:sz w:val="28"/>
          <w:szCs w:val="28"/>
          <w:rtl w:val="0"/>
          <w:lang w:val="ru-RU"/>
        </w:rPr>
        <w:t>1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 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176,3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медицинских работников со средним специальным образованием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Число врачей по сравнению с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2019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годом увеличилось более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чем на </w:t>
      </w:r>
      <w:r>
        <w:rPr>
          <w:rFonts w:ascii="Times New Roman" w:hAnsi="Times New Roman"/>
          <w:sz w:val="28"/>
          <w:szCs w:val="28"/>
          <w:rtl w:val="0"/>
          <w:lang w:val="ru-RU"/>
        </w:rPr>
        <w:t>6</w:t>
      </w:r>
      <w:r>
        <w:rPr>
          <w:rFonts w:ascii="Times New Roman" w:hAnsi="Times New Roman"/>
          <w:sz w:val="28"/>
          <w:szCs w:val="28"/>
          <w:rtl w:val="0"/>
          <w:lang w:val="ru-RU"/>
        </w:rPr>
        <w:t>,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4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тыс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человек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однако несмотря на положительный баланс 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2024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году в стране сохраняется дефицит медицинских работников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который на начало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2025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составил </w:t>
      </w:r>
      <w:r>
        <w:rPr>
          <w:rFonts w:ascii="Times New Roman" w:hAnsi="Times New Roman"/>
          <w:sz w:val="28"/>
          <w:szCs w:val="28"/>
          <w:rtl w:val="0"/>
          <w:lang w:val="ru-RU"/>
        </w:rPr>
        <w:t>23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 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297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врачей и </w:t>
      </w:r>
      <w:r>
        <w:rPr>
          <w:rFonts w:ascii="Times New Roman" w:hAnsi="Times New Roman"/>
          <w:sz w:val="28"/>
          <w:szCs w:val="28"/>
          <w:rtl w:val="0"/>
          <w:lang w:val="ru-RU"/>
        </w:rPr>
        <w:t>63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 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555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средних медицинских работников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Несмотря на общий прирост численности мед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ицинских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работников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сохраняется значительный дисбаланс кадров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как между профилями медицинской помощи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так и этапами оказания медицинской помощи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отмечается региональная дифференциация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неравномерное распределение кадров между городами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 сельской местностью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 целях привлечения квалифицированных медицинских кадров в медицинские организации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расположенные в сельских населенных пунктах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рабочих поселках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поселках городского типа и городах с населением до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50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тыс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человек с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2012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года реализуются мероприятия программы «Земский доктор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/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Земский фельдшер»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За </w:t>
      </w:r>
      <w:r>
        <w:rPr>
          <w:rFonts w:ascii="Times New Roman" w:hAnsi="Times New Roman"/>
          <w:sz w:val="28"/>
          <w:szCs w:val="28"/>
          <w:rtl w:val="0"/>
          <w:lang w:val="ru-RU"/>
        </w:rPr>
        <w:t>2012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2024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годы участие в Программе приняли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71,8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тыс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медицинских работников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(58,6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тыс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врачей и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13,2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тыс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средних медицинских работников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 том числе 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2024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году –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6,9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тыс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медицинских работников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что на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2,9 %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больше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чем 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2023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году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 рамках Программы за последние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5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лет наблюдается положительная динамика привлечения кадров в медицинские организации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расположенные в селах и малых городах регионов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2024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году –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6 908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чел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2020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году –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6 027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чел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.). 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 поручению Президента Российской Федерации с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2025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года стартовал федеральный проект «Медицинские кадры» в рамках национального проекта «Продолжительная и активная жизнь»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 рамках реализации которого планируется увеличение обеспеченности населения врачами с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42,0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на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тысяч населения до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43,5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на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тысяч населения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;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средним медперсоналом с </w:t>
      </w:r>
      <w:r>
        <w:rPr>
          <w:rFonts w:ascii="Times New Roman" w:hAnsi="Times New Roman"/>
          <w:sz w:val="28"/>
          <w:szCs w:val="28"/>
          <w:rtl w:val="0"/>
          <w:lang w:val="ru-RU"/>
        </w:rPr>
        <w:t>83,3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на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тысяч человек до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85,1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2030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году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Тем не менее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участники расширенного выездного заседания фракции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ЛДПР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отмечают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 ситуация с обеспечением квалифицированными кадрами в сфере здравоохранения остается сложной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Во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ряде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субъект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ов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Российской Федерации наблюдается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острый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дефицит врачей и среднего медицинского персонала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Высокая нагрузка на медиков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старение кадрового состава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недостаточный уровень подготовки и квалификации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сравнительно невысокий по сравнению с реальным сектором экономики уровень заработной платы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 тяжелые условия труда в некоторых субъектах Российской Федерации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высокий отток кадров в медицинские организации частной системы здравоохранения – все это приводит к нехватке квалифицированных специалистов в региональных государственных медицинских организациях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Особенно остро данная проблема ощущается в сельской местности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отдаленных и труднодоступных районах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Вызывает обеспокоенность и то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 уменьшение дефицита кадров происходит в том числе за счет сокращения общего количества штатных должностей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За последние шесть лет количество штатных должностей врачей сократилось на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45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тысяч человек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среднего медицинского персонала – на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163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тысячи человек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Уменьшение численности врачей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значительную долю среди которых составляют работники предпенсионного возраста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более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35%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 итогам </w:t>
      </w:r>
      <w:r>
        <w:rPr>
          <w:rFonts w:ascii="Times New Roman" w:hAnsi="Times New Roman"/>
          <w:sz w:val="28"/>
          <w:szCs w:val="28"/>
          <w:rtl w:val="0"/>
          <w:lang w:val="ru-RU"/>
        </w:rPr>
        <w:t>2023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 года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отмечается 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25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субъектах Российской Федерации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среднего медицинского персонала – 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57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субъектах Российской Федерации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 последние несколько лет также отмечается сокращение общего количества выпускников медицинских образовательных организаций высшего образования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трудоустраивающихся после их окончания в медицинские организации государственной и муниципальной систем здравоохранения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Если 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2023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году в эти организации трудоустроился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61%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выпускников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то 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2024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году только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55%. 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Количество выпускников медицинских образовательных организаций среднего профессионального образования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трудоустроившихся в медицинские организации государственной и муниципальной систем здравоохранения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составило в </w:t>
      </w:r>
      <w:r>
        <w:rPr>
          <w:rFonts w:ascii="Times New Roman" w:hAnsi="Times New Roman"/>
          <w:sz w:val="28"/>
          <w:szCs w:val="28"/>
          <w:rtl w:val="0"/>
          <w:lang w:val="ru-RU"/>
        </w:rPr>
        <w:t>2024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 году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42%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 общего числа таких выпускников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 связи с этим численность трудоустраиваемых по специальности выпускников образовательных организаций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осуществляющих подготовку медицинских кадров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 учетом увольняющихся медицинских работников не позволяет устранить дефицит таких кадров в системе здравоохранения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Кроме того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2024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году требуемого уровня заработной платы врачей не достигали 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21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субъекте Российской Федерации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среднего медперсонала – в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19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субъектах Российской Федерации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охраняется значительная дифференциация размеров оплаты труда медицинских работников в соседних субъектах Российской Федерации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связи с чем происходит отток медицинских кадров из тех субъектов Российской Федерации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которых уровень заработной платы медицинских работников является более низким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Участники расширенного выездного заседания фракции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ЛДПР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отмечают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 эффективное обеспечение регионов квалифицированными кадрами в сфере здравоохранения позволит значительно повысить качество и доступность медицинской помощи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 в свою очередь будет способствовать улучшению уровня жизни граждан Российской Федерации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Учитывая вышеизложенное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по итогам заседания рекомендовано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: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1.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Руководителям фракций ЛДПР в законодательных органах субъектов Российской Федерации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: </w:t>
      </w:r>
    </w:p>
    <w:p>
      <w:pPr>
        <w:pStyle w:val="Normal.0"/>
        <w:numPr>
          <w:ilvl w:val="0"/>
          <w:numId w:val="2"/>
        </w:numPr>
        <w:bidi w:val="0"/>
        <w:spacing w:after="0" w:line="360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для решения проблемы обеспечения регионов квалифицированными кадрами в сфере здравоохранения инициировать в регионе принятие комплекса мер направленных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</w:p>
    <w:p>
      <w:pPr>
        <w:pStyle w:val="List Paragraph"/>
        <w:spacing w:after="0" w:line="360" w:lineRule="auto"/>
        <w:ind w:left="360" w:firstLine="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 на улучшение условий труда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медицинских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работников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List Paragraph"/>
        <w:spacing w:after="0" w:line="360" w:lineRule="auto"/>
        <w:ind w:left="360" w:firstLine="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 на повышение уровня заработной платы медицинских работников путем внедрения единой отраслевой оплаты труда медицинских работников с анализом практик пилотных регионов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; </w:t>
      </w:r>
    </w:p>
    <w:p>
      <w:pPr>
        <w:pStyle w:val="List Paragraph"/>
        <w:spacing w:after="0" w:line="360" w:lineRule="auto"/>
        <w:ind w:left="360" w:firstLine="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-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 на повышение привлекательности профессии для молодежи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развитие профориентации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разработку и утверждение «дорожной карты» карьерного роста и профессионального развития молодого специалиста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предоставление социальных гарантий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включая обеспечение жильем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); </w:t>
      </w:r>
    </w:p>
    <w:p>
      <w:pPr>
        <w:pStyle w:val="List Paragraph"/>
        <w:spacing w:after="0" w:line="360" w:lineRule="auto"/>
        <w:ind w:left="360" w:firstLine="0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 на совершенствовании образовательных программ по подготовке кадров в сфере здравоохранения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numPr>
          <w:ilvl w:val="0"/>
          <w:numId w:val="2"/>
        </w:numPr>
        <w:bidi w:val="0"/>
        <w:spacing w:after="0" w:line="360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 первостепенном порядке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инициировать обсуждение представленных вопросов в рамках работы законодательных органов субъектов Российской Федерации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том числе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провести региональные парламентские слушания с участием представителей органов исполнительной и законодательной власти субъектов Российской Федерации на предмет представления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 анализа лучших региональных практик по привлечению и закреплению медицинских работников в региональной системе здравоохранения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numPr>
          <w:ilvl w:val="0"/>
          <w:numId w:val="2"/>
        </w:numPr>
        <w:bidi w:val="0"/>
        <w:spacing w:after="0" w:line="360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проработать с заинтересованными сторонами вопрос об организации целевого приема на обучение в образовательные организации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реализующи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е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профессиональные образовательные программы медицинского образования и фармацевтического образования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учрежденные субъектами Российской Федерации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after="0" w:line="360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:shd w:val="clear" w:color="auto" w:fill="ffff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after="0" w:line="360" w:lineRule="auto"/>
        <w:jc w:val="both"/>
        <w:rPr>
          <w:rFonts w:ascii="Times New Roman" w:cs="Times New Roman" w:hAnsi="Times New Roman" w:eastAsia="Times New Roman"/>
          <w:sz w:val="28"/>
          <w:szCs w:val="28"/>
          <w:shd w:val="clear" w:color="auto" w:fill="ffff00"/>
        </w:rPr>
      </w:pPr>
    </w:p>
    <w:p>
      <w:pPr>
        <w:pStyle w:val="Normal.0"/>
        <w:spacing w:after="0" w:line="360" w:lineRule="auto"/>
        <w:ind w:left="1069" w:firstLine="0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2.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Правительству Российской Федерации</w:t>
      </w:r>
    </w:p>
    <w:p>
      <w:pPr>
        <w:pStyle w:val="Normal.0"/>
        <w:spacing w:after="0" w:line="360" w:lineRule="auto"/>
        <w:ind w:left="1069" w:firstLine="0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)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части совершенствования медицинского образования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</w:p>
    <w:p>
      <w:pPr>
        <w:pStyle w:val="Normal.0"/>
        <w:spacing w:after="0" w:line="360" w:lineRule="auto"/>
        <w:ind w:firstLine="708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1)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 проработать вопрос и подготовить предложения о пересмотре условий среднего профессионального образования для лиц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не имеющих гражданства Российской Федерации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 исключением граждан граждан Союзного государства</w:t>
      </w:r>
      <w:r>
        <w:rPr>
          <w:rFonts w:ascii="Times New Roman" w:hAnsi="Times New Roman"/>
          <w:sz w:val="28"/>
          <w:szCs w:val="28"/>
          <w:rtl w:val="0"/>
          <w:lang w:val="ru-RU"/>
        </w:rPr>
        <w:t>)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части обучения их исключительно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 коммерческой основе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2)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принять дополнительные меры по повышению эффективности целевого приема на обучение по медицинским специальностям и трудоустройству выпускников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; 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3)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 проработать вопрос по установлению требования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 профессиональной переподготовке медицинских работников исключительно в государственных образовательных и научных организациях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4)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принять меры по реализации необходимого обеспечения кадаверным биологическим материалом медицински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х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образовательны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х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организаци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й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для повышения качества практической подготовки обучающихся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5)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разработать меры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направленные на усиление контроля за передачей медицинскими организациями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первую очередь частной системы здравоохранения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информации о медицинских работниках в федеральный регистр медицинских и фармацевтических работников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bookmarkStart w:name="_yvs9h1azh864" w:id="1"/>
      <w:bookmarkEnd w:id="1"/>
      <w:r>
        <w:rPr>
          <w:rFonts w:ascii="Times New Roman" w:hAnsi="Times New Roman"/>
          <w:sz w:val="28"/>
          <w:szCs w:val="28"/>
          <w:rtl w:val="0"/>
          <w:lang w:val="ru-RU"/>
        </w:rPr>
        <w:t>6</w:t>
      </w:r>
      <w:r>
        <w:rPr>
          <w:rFonts w:ascii="Times New Roman" w:hAnsi="Times New Roman"/>
          <w:sz w:val="28"/>
          <w:szCs w:val="28"/>
          <w:rtl w:val="0"/>
          <w:lang w:val="ru-RU"/>
        </w:rPr>
        <w:t>)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 принять меры по реализации государственного регулирования цены на платное обучение для обеспечения максимальной доступности обучения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образовательных организациях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before="240" w:after="0" w:line="360" w:lineRule="auto"/>
        <w:ind w:firstLine="709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б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)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в части преодоления кадрового дефицита в региональных медицинских организациях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: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1)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 разработать порядок и правила мониторинга трудоустройства лиц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завершивших обучение по основным профессиональным образовательным программам медицинского образования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2)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 проработать вопрос по увеличению финансирования программы «Земский доктор» и «Земский фельдшер»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; 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3)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 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азработать и внедрить во всех субъектах Российской Федерации единую отраслевую систему оплаты труда медицинских работников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уделив особое внимание дифференциации в оплате труда среднего и младшего медицинского персонала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before="240" w:after="0" w:line="360" w:lineRule="auto"/>
        <w:ind w:firstLine="709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в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)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в части совершенствования мер поддержки медицинских работников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: 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1)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 расширить перечень реализуемых мер социальной поддержки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включая повышение стипендии для студентов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аспирантов и оплаты труда профессорско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преподавательского состава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занятого в подготовке специалистов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учитывая лучшие региональные практики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2)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 принять меры по обеспечению жильем медицинских работников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3)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 принять меры по совершенствованию системы охраны труда и пенсионного обеспечения медицинских работников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line="360" w:lineRule="auto"/>
        <w:ind w:firstLine="708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Данные рекомендации направлены на формирование новых действенных инструментов кадровой политики в системе отечественного здравоохранения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 создание дополнительных условий в субъектах Российской Федерации для привлечения медицинских работников в профессию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повышения качества медицинского образования и престижа профессии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внедрения в субъекты Российской Федерации отраслевой системы оплаты труда медицинских работников с утверждением единых размеров базовых окладов соответствующих категорий медицинских работников</w:t>
      </w:r>
      <w:r>
        <w:rPr>
          <w:rFonts w:ascii="Times New Roman" w:hAnsi="Times New Roman"/>
          <w:sz w:val="28"/>
          <w:szCs w:val="28"/>
          <w:rtl w:val="0"/>
          <w:lang w:val="ru-RU"/>
        </w:rPr>
        <w:t>,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также основных компенсационных и стимулирующих выплат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Участники расширенного выездного заседания фракции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ЛДПР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отмечают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 для обеспечения выполнения настоящих Рекомендаций необходимо проводить планомерную работу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том числе по контролю осуществления соответствующих мер в регионах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Принимая во внимание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 в настоящее время субъекты Российской Федерации имеют различное социально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экономическое развитие и обладают неравной возможностью предоставлять различный набор мер социальной поддержки медицинским работникам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необходимо конструктивное взаимодействие с федеральным центром для повышения качества принимаемых решений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3.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Высшим должностным лицам субъектов Российской Федерации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:</w:t>
      </w:r>
    </w:p>
    <w:p>
      <w:pPr>
        <w:pStyle w:val="Normal.0"/>
        <w:spacing w:after="0" w:line="360" w:lineRule="auto"/>
        <w:ind w:left="1069" w:firstLine="0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а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) </w:t>
      </w:r>
      <w:r>
        <w:rPr>
          <w:rFonts w:ascii="Times New Roman" w:hAnsi="Times New Roman" w:hint="default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части совершенствования медицинского образования</w:t>
      </w: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:</w:t>
      </w:r>
    </w:p>
    <w:p>
      <w:pPr>
        <w:pStyle w:val="List Paragraph"/>
        <w:numPr>
          <w:ilvl w:val="3"/>
          <w:numId w:val="2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8"/>
          <w:szCs w:val="28"/>
          <w:rtl w:val="0"/>
          <w:lang w:val="ru-RU"/>
        </w:rPr>
      </w:pPr>
      <w:r>
        <w:rPr>
          <w:rFonts w:ascii="Times New Roman" w:hAnsi="Times New Roman"/>
          <w:b w:val="1"/>
          <w:bCs w:val="1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разработать меры по развитию профильных классов в школах для углубленного изучения химии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биологии и профориентационной работы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со школьниками для ознакомления с медицинскими профессиями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List Paragraph"/>
        <w:numPr>
          <w:ilvl w:val="3"/>
          <w:numId w:val="2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8"/>
          <w:szCs w:val="28"/>
          <w:rtl w:val="0"/>
          <w:lang w:val="ru-RU"/>
        </w:rPr>
      </w:pP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принять меры по повышению эффективности работы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образовательных организаций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реализующи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х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профессиональные образовательные программы медицинского образования и фармацевтического образования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учрежденных субъектами Российской Федерации</w:t>
      </w:r>
      <w:r>
        <w:rPr>
          <w:rFonts w:ascii="Times New Roman" w:hAnsi="Times New Roman"/>
          <w:sz w:val="28"/>
          <w:szCs w:val="28"/>
          <w:rtl w:val="0"/>
          <w:lang w:val="ru-RU"/>
        </w:rPr>
        <w:t>,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в части первоочередного обеспечения квалифицированными кадрами государственных и муниципальных медицинских организаций конкретного региона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котором расположена данная образовательная организация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before="240" w:after="0" w:line="360" w:lineRule="auto"/>
        <w:ind w:firstLine="709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б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)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в части преодоления кадрового дефицита в региональных медицинских организациях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:</w:t>
      </w:r>
    </w:p>
    <w:p>
      <w:pPr>
        <w:pStyle w:val="List Paragraph"/>
        <w:numPr>
          <w:ilvl w:val="3"/>
          <w:numId w:val="4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8"/>
          <w:szCs w:val="28"/>
          <w:rtl w:val="0"/>
          <w:lang w:val="ru-RU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принять меры для тиражирования в субъектах Российской Федерации опыта республиканской программы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Республика Башкортостан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)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«Врачи для малых медицинских организаций»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которая вошла в число лучших практик в стране по привлечению медицинских кадров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List Paragraph"/>
        <w:numPr>
          <w:ilvl w:val="3"/>
          <w:numId w:val="4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8"/>
          <w:szCs w:val="28"/>
          <w:rtl w:val="0"/>
          <w:lang w:val="ru-RU"/>
        </w:rPr>
      </w:pP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выстроить единую вертикаль подготовки медицинских кадров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 региональном уровне — от медицинских классов и колледжей до высших учебных заведений и последующего трудоустройства в медицинские организации региона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List Paragraph"/>
        <w:numPr>
          <w:ilvl w:val="3"/>
          <w:numId w:val="4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8"/>
          <w:szCs w:val="28"/>
          <w:rtl w:val="0"/>
          <w:lang w:val="ru-RU"/>
        </w:rPr>
      </w:pP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внедрить систему ротационного 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(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вахтового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)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направления врачей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hAnsi="Times New Roman" w:hint="default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в удалённые и дефицитные районы региона</w:t>
      </w: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>;</w:t>
      </w:r>
    </w:p>
    <w:p>
      <w:pPr>
        <w:pStyle w:val="List Paragraph"/>
        <w:numPr>
          <w:ilvl w:val="3"/>
          <w:numId w:val="4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8"/>
          <w:szCs w:val="28"/>
          <w:rtl w:val="0"/>
          <w:lang w:val="ru-RU"/>
        </w:rPr>
      </w:pP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принять меры по стимулированию медицинских работников старшего возраста с помощью грантов и дополнительных ставок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List Paragraph"/>
        <w:numPr>
          <w:ilvl w:val="3"/>
          <w:numId w:val="4"/>
        </w:numPr>
        <w:bidi w:val="0"/>
        <w:spacing w:after="0" w:line="360" w:lineRule="auto"/>
        <w:ind w:right="0"/>
        <w:jc w:val="both"/>
        <w:rPr>
          <w:rFonts w:ascii="Times New Roman" w:hAnsi="Times New Roman"/>
          <w:sz w:val="28"/>
          <w:szCs w:val="28"/>
          <w:rtl w:val="0"/>
          <w:lang w:val="ru-RU"/>
        </w:rPr>
      </w:pPr>
      <w:r>
        <w:rPr>
          <w:rFonts w:ascii="Times New Roman" w:hAnsi="Times New Roman"/>
          <w:outline w:val="0"/>
          <w:color w:val="000000"/>
          <w:sz w:val="28"/>
          <w:szCs w:val="28"/>
          <w:u w:color="000000"/>
          <w:rtl w:val="0"/>
          <w:lang w:val="ru-RU"/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создать при органах исполнительной власти координационные советы с участием главных врачей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администраций учебных заведений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департаментов здравоохранения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которые будут осуществлять контроль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 профориентационными мероприятиями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целевым обучением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 сопровождением студентов и выпускников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before="240" w:after="0" w:line="360" w:lineRule="auto"/>
        <w:ind w:firstLine="709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в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)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в части совершенствования мер поддержки медицинских работников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:</w:t>
      </w:r>
    </w:p>
    <w:p>
      <w:pPr>
        <w:pStyle w:val="List Paragraph"/>
        <w:numPr>
          <w:ilvl w:val="6"/>
          <w:numId w:val="6"/>
        </w:numPr>
        <w:bidi w:val="0"/>
        <w:spacing w:before="240" w:after="0" w:line="360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проработать вопрос об учреждении именных стипендий для студентов образовательных организаций среднего профессионального и высшего медицинского образования с целью стимулирования их достижений и популяризации медицинских профессий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List Paragraph"/>
        <w:numPr>
          <w:ilvl w:val="6"/>
          <w:numId w:val="6"/>
        </w:numPr>
        <w:bidi w:val="0"/>
        <w:spacing w:before="240" w:after="0" w:line="360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принять меры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направленные на повышение роли и престижа профессии медицинского работника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повышение уровня социальных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трудовых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гарантий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создание благоприятных условий для осуществления медицинской деятельности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дебюрократизация труда и внутренних процессов организаций</w:t>
      </w:r>
      <w:r>
        <w:rPr>
          <w:rFonts w:ascii="Times New Roman" w:hAnsi="Times New Roman"/>
          <w:sz w:val="28"/>
          <w:szCs w:val="28"/>
          <w:rtl w:val="0"/>
          <w:lang w:val="ru-RU"/>
        </w:rPr>
        <w:t>);</w:t>
      </w:r>
    </w:p>
    <w:p>
      <w:pPr>
        <w:pStyle w:val="List Paragraph"/>
        <w:numPr>
          <w:ilvl w:val="6"/>
          <w:numId w:val="6"/>
        </w:numPr>
        <w:bidi w:val="0"/>
        <w:spacing w:before="240" w:after="0" w:line="360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принять меры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направленные на поддержку молодых специалистов и их семей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учитывая лучшие региональные практики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List Paragraph"/>
        <w:numPr>
          <w:ilvl w:val="6"/>
          <w:numId w:val="6"/>
        </w:numPr>
        <w:bidi w:val="0"/>
        <w:spacing w:before="240" w:after="0" w:line="360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принять меры по обеспечению жильем медицинских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фармацевтических и педагогических работников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 </w:t>
      </w:r>
    </w:p>
    <w:p>
      <w:pPr>
        <w:pStyle w:val="List Paragraph"/>
        <w:numPr>
          <w:ilvl w:val="6"/>
          <w:numId w:val="6"/>
        </w:numPr>
        <w:bidi w:val="0"/>
        <w:spacing w:before="240" w:after="0" w:line="360" w:lineRule="auto"/>
        <w:ind w:right="0"/>
        <w:jc w:val="both"/>
        <w:rPr>
          <w:rFonts w:ascii="Times New Roman" w:hAnsi="Times New Roman" w:hint="default"/>
          <w:sz w:val="28"/>
          <w:szCs w:val="28"/>
          <w:rtl w:val="0"/>
          <w:lang w:val="ru-RU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с учетом социально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экономического положения субъекта Российской Федерации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рассмотреть возможность обязательств по оплате аренды жилья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услуг ЖКХ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проезда на общественном транспорте для медицинских работников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Normal.0"/>
        <w:spacing w:before="240" w:after="0" w:line="360" w:lineRule="auto"/>
        <w:ind w:firstLine="709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Аппарату фракции ЛДПР в Государственной Думе Федерального Собрания Российской Федерации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: 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1.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 Направить настоящие Рекомендации в адрес Председателя Правительства Российской Федерации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2.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 Направить настоящие Рекомендации в адрес высших должностных лиц субъектов Российской Федерации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а также председателей законодательных органов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субъектов Российской Федерации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u w:val="single"/>
          <w:rtl w:val="0"/>
          <w:lang w:val="ru-RU"/>
        </w:rPr>
        <w:t>Срок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– в течение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3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рабочих дней со дня утверждения настоящих Рекомендаций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4.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 Направлять запросы руководителям фракций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ЛДПР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в законодательных органах субъектов Российской Федерации по результатам контроля применения настоящих Рекомендаций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u w:val="single"/>
          <w:rtl w:val="0"/>
          <w:lang w:val="ru-RU"/>
        </w:rPr>
        <w:t>Срок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– по мере необходимости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Центральному Аппарату ЛДПР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>: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1.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 Осуществить сбор отчетов руководителей фракций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ЛДПР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в законодательных органах субъектов Российской Федерации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u w:val="single"/>
          <w:rtl w:val="0"/>
          <w:lang w:val="ru-RU"/>
        </w:rPr>
        <w:t>Срок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–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августа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2025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года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далее – ежеквартально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2.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 Проанализировать отчеты руководителей фракций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ЛДПР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в законодательных органах субъектов Российской Федерации на предмет планирования выполнения настоящих Рекомендаций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sz w:val="28"/>
          <w:szCs w:val="28"/>
        </w:rPr>
      </w:pPr>
      <w:r>
        <w:rPr>
          <w:rFonts w:ascii="Times New Roman" w:hAnsi="Times New Roman" w:hint="default"/>
          <w:sz w:val="28"/>
          <w:szCs w:val="28"/>
          <w:u w:val="single"/>
          <w:rtl w:val="0"/>
          <w:lang w:val="ru-RU"/>
        </w:rPr>
        <w:t>Срок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–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15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августа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2025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года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далее – в течение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рабочих дней после представления отчетов фракций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ЛДПР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законодательных органах субъектов Российской Федерации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3.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 Направить результаты анализа отчетов и отчеты руководителей фракций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ЛДПР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в законодательных органах субъектов Российской Федерации во фракцию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ЛДПР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Государственной Думе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Normal.0"/>
        <w:spacing w:after="0" w:line="360" w:lineRule="auto"/>
        <w:ind w:firstLine="709"/>
        <w:jc w:val="both"/>
      </w:pPr>
      <w:r>
        <w:rPr>
          <w:rFonts w:ascii="Times New Roman" w:hAnsi="Times New Roman" w:hint="default"/>
          <w:sz w:val="28"/>
          <w:szCs w:val="28"/>
          <w:u w:val="single"/>
          <w:rtl w:val="0"/>
          <w:lang w:val="ru-RU"/>
        </w:rPr>
        <w:t>Срок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–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августа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2025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года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далее – в течение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3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рабочих дней после проведения анализа отчетов руководителей фракций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ЛДПР</w:t>
        <w:br w:type="textWrapping"/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законодательных органах субъектов Российской Федерации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</w:p>
    <w:sectPr>
      <w:headerReference w:type="default" r:id="rId4"/>
      <w:footerReference w:type="default" r:id="rId5"/>
      <w:pgSz w:w="11900" w:h="16840" w:orient="portrait"/>
      <w:pgMar w:top="1134" w:right="850" w:bottom="1134" w:left="1701" w:header="708" w:footer="708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tabs>
        <w:tab w:val="center" w:pos="4677"/>
        <w:tab w:val="right" w:pos="9329"/>
        <w:tab w:val="right" w:pos="9329"/>
      </w:tabs>
      <w:spacing w:after="0" w:line="240" w:lineRule="auto"/>
      <w:jc w:val="center"/>
      <w:rPr>
        <w:outline w:val="0"/>
        <w:color w:val="000000"/>
        <w:u w:color="000000"/>
        <w14:textFill>
          <w14:solidFill>
            <w14:srgbClr w14:val="000000"/>
          </w14:solidFill>
        </w14:textFill>
      </w:rPr>
    </w:pPr>
  </w:p>
  <w:p>
    <w:pPr>
      <w:pStyle w:val="Normal.0"/>
      <w:tabs>
        <w:tab w:val="center" w:pos="4677"/>
        <w:tab w:val="right" w:pos="9329"/>
        <w:tab w:val="right" w:pos="9329"/>
      </w:tabs>
      <w:spacing w:after="0" w:line="240" w:lineRule="auto"/>
      <w:jc w:val="center"/>
    </w:pPr>
    <w:r>
      <w:rPr>
        <w:rFonts w:ascii="Times New Roman" w:hAnsi="Times New Roman"/>
        <w:outline w:val="0"/>
        <w:color w:val="000000"/>
        <w:sz w:val="24"/>
        <w:szCs w:val="24"/>
        <w:u w:color="000000"/>
        <w:rtl w:val="0"/>
        <w14:textFill>
          <w14:solidFill>
            <w14:srgbClr w14:val="000000"/>
          </w14:solidFill>
        </w14:textFill>
      </w:rPr>
      <w:fldChar w:fldCharType="begin" w:fldLock="0"/>
    </w:r>
    <w:r>
      <w:rPr>
        <w:rFonts w:ascii="Times New Roman" w:hAnsi="Times New Roman"/>
        <w:outline w:val="0"/>
        <w:color w:val="000000"/>
        <w:sz w:val="24"/>
        <w:szCs w:val="24"/>
        <w:u w:color="000000"/>
        <w:rtl w:val="0"/>
        <w14:textFill>
          <w14:solidFill>
            <w14:srgbClr w14:val="000000"/>
          </w14:solidFill>
        </w14:textFill>
      </w:rPr>
      <w:instrText xml:space="preserve"> PAGE </w:instrText>
    </w:r>
    <w:r>
      <w:rPr>
        <w:rFonts w:ascii="Times New Roman" w:hAnsi="Times New Roman"/>
        <w:outline w:val="0"/>
        <w:color w:val="000000"/>
        <w:sz w:val="24"/>
        <w:szCs w:val="24"/>
        <w:u w:color="000000"/>
        <w:rtl w:val="0"/>
        <w14:textFill>
          <w14:solidFill>
            <w14:srgbClr w14:val="000000"/>
          </w14:solidFill>
        </w14:textFill>
      </w:rPr>
      <w:fldChar w:fldCharType="separate" w:fldLock="0"/>
    </w:r>
    <w:r>
      <w:rPr>
        <w:rFonts w:ascii="Times New Roman" w:hAnsi="Times New Roman"/>
        <w:outline w:val="0"/>
        <w:color w:val="000000"/>
        <w:sz w:val="24"/>
        <w:szCs w:val="24"/>
        <w:u w:color="000000"/>
        <w:rtl w:val="0"/>
        <w14:textFill>
          <w14:solidFill>
            <w14:srgbClr w14:val="000000"/>
          </w14:solidFill>
        </w14:textFill>
      </w:rPr>
    </w:r>
    <w:r>
      <w:rPr>
        <w:rFonts w:ascii="Times New Roman" w:hAnsi="Times New Roman"/>
        <w:outline w:val="0"/>
        <w:color w:val="000000"/>
        <w:sz w:val="24"/>
        <w:szCs w:val="24"/>
        <w:u w:color="000000"/>
        <w:rtl w:val="0"/>
        <w14:textFill>
          <w14:solidFill>
            <w14:srgbClr w14:val="000000"/>
          </w14:solidFill>
        </w14:textFill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decimal"/>
      <w:suff w:val="tab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ind w:left="180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4)"/>
      <w:lvlJc w:val="left"/>
      <w:pPr>
        <w:ind w:left="153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nothing"/>
      <w:lvlText w:val="%5."/>
      <w:lvlJc w:val="left"/>
      <w:pPr>
        <w:ind w:left="720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1440" w:hanging="2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7."/>
      <w:lvlJc w:val="left"/>
      <w:pPr>
        <w:ind w:left="2160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nothing"/>
      <w:lvlText w:val="%8."/>
      <w:lvlJc w:val="left"/>
      <w:pPr>
        <w:ind w:left="2880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3600" w:hanging="2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Импортированный стиль 2"/>
  </w:abstractNum>
  <w:abstractNum w:abstractNumId="3">
    <w:multiLevelType w:val="hybridMultilevel"/>
    <w:styleLink w:val="Импортированный стиль 2"/>
    <w:lvl w:ilvl="0">
      <w:start w:val="1"/>
      <w:numFmt w:val="decimal"/>
      <w:suff w:val="tab"/>
      <w:lvlText w:val="%1)"/>
      <w:lvlJc w:val="left"/>
      <w:pPr>
        <w:tabs>
          <w:tab w:val="num" w:pos="1025"/>
        </w:tabs>
        <w:ind w:left="458" w:firstLine="1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num" w:pos="1745"/>
        </w:tabs>
        <w:ind w:left="1178" w:firstLine="10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num" w:pos="2447"/>
        </w:tabs>
        <w:ind w:left="1880" w:firstLine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4)"/>
      <w:lvlJc w:val="left"/>
      <w:pPr>
        <w:ind w:left="153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nothing"/>
      <w:lvlText w:val="%5."/>
      <w:lvlJc w:val="left"/>
      <w:pPr>
        <w:ind w:left="862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ind w:left="1582" w:hanging="2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7."/>
      <w:lvlJc w:val="left"/>
      <w:pPr>
        <w:ind w:left="2302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nothing"/>
      <w:lvlText w:val="%8."/>
      <w:lvlJc w:val="left"/>
      <w:pPr>
        <w:ind w:left="3022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ind w:left="3742" w:hanging="2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multiLevelType w:val="hybridMultilevel"/>
    <w:numStyleLink w:val="Импортированный стиль 3"/>
  </w:abstractNum>
  <w:abstractNum w:abstractNumId="5">
    <w:multiLevelType w:val="hybridMultilevel"/>
    <w:styleLink w:val="Импортированный стиль 3"/>
    <w:lvl w:ilvl="0">
      <w:start w:val="1"/>
      <w:numFmt w:val="decimal"/>
      <w:suff w:val="tab"/>
      <w:lvlText w:val="%1)"/>
      <w:lvlJc w:val="left"/>
      <w:pPr>
        <w:tabs>
          <w:tab w:val="num" w:pos="1167"/>
        </w:tabs>
        <w:ind w:left="458" w:firstLine="2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num" w:pos="1887"/>
        </w:tabs>
        <w:ind w:left="1178" w:firstLine="2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num" w:pos="2589"/>
        </w:tabs>
        <w:ind w:left="1880" w:firstLine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)"/>
      <w:lvlJc w:val="left"/>
      <w:pPr>
        <w:tabs>
          <w:tab w:val="num" w:pos="3327"/>
        </w:tabs>
        <w:ind w:left="2618" w:firstLine="2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num" w:pos="4047"/>
        </w:tabs>
        <w:ind w:left="3338" w:firstLine="2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num" w:pos="4749"/>
        </w:tabs>
        <w:ind w:left="4040" w:firstLine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)"/>
      <w:lvlJc w:val="left"/>
      <w:pPr>
        <w:tabs>
          <w:tab w:val="num" w:pos="1440"/>
        </w:tabs>
        <w:ind w:left="731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num" w:pos="1571"/>
        </w:tabs>
        <w:ind w:left="862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num" w:pos="2291"/>
        </w:tabs>
        <w:ind w:left="1582" w:firstLine="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72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2">
    <w:name w:val="Импортированный стиль 2"/>
    <w:pPr>
      <w:numPr>
        <w:numId w:val="3"/>
      </w:numPr>
    </w:pPr>
  </w:style>
  <w:style w:type="numbering" w:styleId="Импортированный стиль 3">
    <w:name w:val="Импортированный стиль 3"/>
    <w:pPr>
      <w:numPr>
        <w:numId w:val="5"/>
      </w:numPr>
    </w:p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